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2" w:type="pct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1398"/>
        <w:gridCol w:w="20"/>
        <w:gridCol w:w="7614"/>
        <w:gridCol w:w="20"/>
        <w:gridCol w:w="655"/>
        <w:gridCol w:w="81"/>
      </w:tblGrid>
      <w:tr w:rsidR="009838FA" w:rsidRPr="00175130" w:rsidTr="009838FA">
        <w:trPr>
          <w:tblCellSpacing w:w="0" w:type="dxa"/>
        </w:trPr>
        <w:tc>
          <w:tcPr>
            <w:tcW w:w="9808" w:type="dxa"/>
            <w:gridSpan w:val="7"/>
            <w:tcMar>
              <w:top w:w="0" w:type="dxa"/>
              <w:left w:w="0" w:type="dxa"/>
              <w:bottom w:w="240" w:type="dxa"/>
              <w:right w:w="0" w:type="dxa"/>
            </w:tcMar>
            <w:vAlign w:val="center"/>
            <w:hideMark/>
          </w:tcPr>
          <w:p w:rsidR="009838FA" w:rsidRPr="00175130" w:rsidRDefault="009838FA" w:rsidP="00AB500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45"/>
                <w:szCs w:val="45"/>
                <w:lang w:eastAsia="ru-RU"/>
              </w:rPr>
            </w:pPr>
            <w:r w:rsidRPr="00175130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45"/>
                <w:szCs w:val="45"/>
                <w:lang w:eastAsia="ru-RU"/>
              </w:rPr>
              <w:t>Как на иголках </w:t>
            </w:r>
            <w:r w:rsidRPr="00175130">
              <w:rPr>
                <w:rFonts w:ascii="Arial" w:eastAsia="Times New Roman" w:hAnsi="Arial" w:cs="Arial"/>
                <w:color w:val="555555"/>
                <w:kern w:val="36"/>
                <w:sz w:val="21"/>
                <w:szCs w:val="21"/>
                <w:lang w:eastAsia="ru-RU"/>
              </w:rPr>
              <w:br/>
            </w:r>
            <w:hyperlink r:id="rId5" w:history="1">
              <w:r w:rsidRPr="00175130">
                <w:rPr>
                  <w:rFonts w:ascii="Arial" w:eastAsia="Times New Roman" w:hAnsi="Arial" w:cs="Arial"/>
                  <w:b/>
                  <w:bCs/>
                  <w:color w:val="A0AB9D"/>
                  <w:kern w:val="36"/>
                  <w:sz w:val="21"/>
                  <w:szCs w:val="21"/>
                  <w:u w:val="single"/>
                  <w:lang w:eastAsia="ru-RU"/>
                </w:rPr>
                <w:t>Парадокс</w:t>
              </w:r>
            </w:hyperlink>
            <w:r>
              <w:rPr>
                <w:rFonts w:ascii="Arial" w:eastAsia="Times New Roman" w:hAnsi="Arial" w:cs="Arial"/>
                <w:b/>
                <w:bCs/>
                <w:color w:val="A0AB9D"/>
                <w:kern w:val="36"/>
                <w:sz w:val="21"/>
                <w:szCs w:val="21"/>
                <w:u w:val="single"/>
                <w:lang w:eastAsia="ru-RU"/>
              </w:rPr>
              <w:t xml:space="preserve"> / </w:t>
            </w:r>
            <w:hyperlink r:id="rId6" w:history="1">
              <w:r w:rsidRPr="00175130">
                <w:rPr>
                  <w:rFonts w:ascii="Arial" w:eastAsia="Times New Roman" w:hAnsi="Arial" w:cs="Arial"/>
                  <w:color w:val="0080FF"/>
                  <w:sz w:val="17"/>
                  <w:szCs w:val="17"/>
                  <w:u w:val="single"/>
                  <w:lang w:eastAsia="ru-RU"/>
                </w:rPr>
                <w:t>Владимир Крючков</w:t>
              </w:r>
            </w:hyperlink>
          </w:p>
          <w:p w:rsidR="009838FA" w:rsidRPr="00175130" w:rsidRDefault="009838FA" w:rsidP="00AB5003">
            <w:pPr>
              <w:spacing w:before="75" w:after="75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17513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Полеты на далекие планеты, погружение к центру Земли, безопасная энергия — все это возможно, если человечество распутает ядерные нитки и сделает из них иголки</w:t>
            </w:r>
          </w:p>
        </w:tc>
      </w:tr>
      <w:tr w:rsidR="009838FA" w:rsidRPr="009838FA" w:rsidTr="009838FA">
        <w:trPr>
          <w:tblCellSpacing w:w="0" w:type="dxa"/>
        </w:trPr>
        <w:tc>
          <w:tcPr>
            <w:tcW w:w="20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3C6E7696" wp14:editId="74C83CD1">
                  <wp:extent cx="906780" cy="600075"/>
                  <wp:effectExtent l="0" t="0" r="7620" b="9525"/>
                  <wp:docPr id="1" name="Рисунок 1" descr="http://www.itogi.ru/7-days/img/782/I-23-PARADOX-jader-f04_95.jpg">
                    <a:hlinkClick xmlns:a="http://schemas.openxmlformats.org/drawingml/2006/main" r:id="rId7" tgtFrame="&quot;_blank&quot;" tooltip="&quot;Компактные реакторы, использующие при ядерном синтезе свойства АБ-материи, придут на смену громоздким термоядерным махинам типа ITE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itogi.ru/7-days/img/782/I-23-PARADOX-jader-f04_95.jpg">
                            <a:hlinkClick r:id="rId7" tgtFrame="&quot;_blank&quot;" tooltip="&quot;Компактные реакторы, использующие при ядерном синтезе свойства АБ-материи, придут на смену громоздким термоядерным махинам типа ITE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7614" w:type="dxa"/>
            <w:hideMark/>
          </w:tcPr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Профессор и доктор т</w:t>
            </w:r>
            <w:bookmarkStart w:id="0" w:name="_GoBack"/>
            <w:bookmarkEnd w:id="0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ехнических наук Александр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 — наш бывший соотечественник, ныне живущий и работающий в США. Не так давно он явил миру теорию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фемтотехнологии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(она придет за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нанотехнологиями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) и АБ-материи, которая будет обладать фантастической прочностью и твердостью — в миллионы раз выше, чем у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нанотрубок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, не говоря уже об обычных материалах (см. «Итоги» № 13, 2009 год). Помимо этого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фемтоматериалы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окажутся способны выдерживать гигантские температуры в миллионы градусов без изменения свойств и не пропускать тепло. Они будут полностью химически стабильны, не подвержены ни коррозии, ни усталости. Но тогда Александр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продумал лишь то, как создавать особую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АБ-материю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(название он составил из своих инициалов), и описал ее свойство. Теперь же ученый готов представить конкретные разработки, подготовленные на основе его теоретических изысканий. Он придумал уникальные способы космических полетов, самый безопасный ядерный реактор и узнал, как совершить революцию в медицине. И пусть официальная наука относится к этим разработкам скептически, сам ученый уверен в своей правоте.</w:t>
            </w:r>
          </w:p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Иглотерапия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В основе разработок лежат так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называемые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АБ-иглы. Это одинарные тончайшие нити-струны из нуклонов (общее название для протонов и нейтронов), диаметр которых в миллионы раз меньше простейшего атома водорода. Ученый детально описал процесс производства АБ-игл: «В контейнер с глубоким вакуумом с одной стороны помещается экран — своеобразная матрица, в которую с противоположной стороны стреляют протонные и нейтронные пушки. Элементарные частицы дополнительно ускоряются при помощи металлических сеток под напряжением. Оседая на матрице, протоны и нейтроны из-за своей скорости смогут преодолеть электромагнитные силы, мешающие им сблизиться в обычных условиях.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Подлетая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друг к другу на минимальное расстояние, они сцепляются под воздействием ядерных сил, и их уже почти не разъединить». Такая нить растягивается исключительно благодаря тому, что имеет в своей структуре положительно заряженные протоны. Они, как объясняет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, отталкиваются друг от друга благодаря электростатической дальнодействующей силе и таким образом растягивают нить. Но для чего потребуются такие нити? Например, с их помощью можно будет проникать в структуру практически любого вещества. Допустим, в тело человека. Благодаря тому, что диаметр иглы в миллион раз меньше атома водорода, живая ткань не получит повреждений, и в нужном месте можно будет совершать любые манипуляции. Это, как считает автор идеи, произведет революцию в хирургии и диагностике заболеваний. Так, можно будет, не причиняя вреда здоровым органам, удалять раковые опухоли, где бы они ни находились. Сейчас передовой технологией в медицине считается использование протонных скальпелей, которые дороги и применяются не во всех случаях. Также огромную потенциальную пользу от применения технологии АБ-игл Александр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видит в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сердечно-сосудистой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и нейрохирургии, ревматологии и стоматологии.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Помимо медицины АБ-иглы могут найти применение в различных отраслях науки. Так, считает автор идеи, при помощи невидимой АБ-иглы станет возможным исследовать Землю, беспрепятственно проникая в ее недра. Применив специальную исследовательскую аппаратуру, ученые смогут раскрыть многие загадки строения планеты. Но и это еще не все. АБ-иглы помогут строителям поднимать грузы на высоту, будут поддерживать любые по протяженности мосты и эстакады.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Но, пожалуй, самые захватывающие перспективы использования ядерных игл открываются в космической сфере. Способность растягиваться на многие тысячи километров и при этом еще и толкать любые грузы перед собой, как уверяет изобретатель, даст человеку возможность запускать космические корабли и исследовательские спутники без использования многоступенчатых ракет-носителей.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lastRenderedPageBreak/>
              <w:t>Так, АБ-игла, по теоретическим расчетам ученого, позволит космическому кораблю преодолеть путь от Земли до Луны всего за четыре часа со скоростью порядка 100 тысяч километров в час, а до Марса он долетит за каких-то двое суток.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«Подобного рода космический элеватор, — уверен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, — даст возможность спутникам-зондам летать над любой обследуемой планетой, а если планета состоит из газа, то даже погрузиться внутрь ее». Кто знает, возможно, благодаря именно этой технологии человек когда-нибудь сможет добраться и до края Вселенной, если он, конечно, существует.</w:t>
            </w:r>
          </w:p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Синтезируй это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Другим не менее интересным и важным для человечества предложением использования АБ-материи Александр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считает возможность создания компактных дешевых ядерных реакторов. Сегодня перспективы в области развития энергетики ученые связывают с ядерной реакцией синтеза. Основное преимущество реактора синтеза перед используемыми в настоящее время реакторами деления состоит в его безопасности. Ему нужно ничтожное количество ядерного топлива, и он не может взорваться и отравить огромные территории.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«Для специалиста ясно, как сделать ядерный реактор синтеза, если есть нетеплопроводный материал, способный выдерживать температуру в миллионы градусов, — поясняет суть своей идеи изобретатель. — Проблема только в том, что такого материала в природе не существует. Сейчас при попытках начать реакцию ядерного синтеза вся энергия уходит на нагрев стенок реактора, что приводит к его расплавлению и выходу из строя». Вот и бьются ученые всего мира уже более 60 лет над вопросом, как не допустить контакта плазмы со стенками реактора. Для этого ее делают весьма разреженной и изолируют от стенок мощным электромагнитным полем, что требует сверхпроводящих магнитов, криогенных аппаратов, огромных и дорогих установок стабилизации плазмы. Только Евросоюз тратит на решение этой проблемы около 300 миллионов долларов ежегодно. Экспериментальный реактор ITER обходится участникам проекта в 14 миллиардов долларов, и, по оценкам западных ученых, потребуется еще 40—50 лет и около 80 миллиардов долларов, чтобы создать первый промышленный реактор синтеза.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В свою очередь Александр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Болонкин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уверен, что применение его АБ-материи, способной выдерживать температуру в сотни миллионов градусов и имеющей почти нулевую теплопроводность, позволит создать компактный дешевый реактор и сразу снимет все проблемы. «Вы можете использовать маленькую камеру с плотной плазмой и удерживать ее в нагретом состоянии не микросекунды, а столько, сколько нужно, — говорит автор идеи. — Кроме того, энергию, получаемую от такого реактора синтеза, не нужно будет, используя сложные схемы с водяными турбинами и парогенераторами, преобразовывать в электричество. Оно будет получаться практически без вспомогательных систем на выходе из реактора». Благодаря этому ядерный реактор можно сделать настолько маленьким и такой малой мощности, что хоть устанавливай на мотоциклах и автомобилях.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АБ-материя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грозит, уверен ученый, совершить настоящую революцию в развитии человеческой цивилизации. Несмотря на скепсис коллег, изобретатель не считает свои работы научной фантастикой. Ведь те же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нанотехнологии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стали развиваться только через 40 лет после того, как знаменитый американский физик Ричард Фейнман в 1959 году объявил, что за ними будущее. Сейчас же этот факт мало кто оспорит в научных кругах.</w:t>
            </w:r>
          </w:p>
        </w:tc>
        <w:tc>
          <w:tcPr>
            <w:tcW w:w="20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br/>
            </w:r>
          </w:p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" w:type="dxa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</w:tr>
      <w:tr w:rsidR="009838FA" w:rsidRPr="009838FA" w:rsidTr="009838FA">
        <w:trPr>
          <w:trHeight w:val="360"/>
          <w:tblCellSpacing w:w="0" w:type="dxa"/>
        </w:trPr>
        <w:tc>
          <w:tcPr>
            <w:tcW w:w="20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40D22672" wp14:editId="5919BB74">
                  <wp:extent cx="43815" cy="43815"/>
                  <wp:effectExtent l="0" t="0" r="0" b="0"/>
                  <wp:docPr id="3" name="Рисунок 3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8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4B393B63" wp14:editId="6DA83488">
                  <wp:extent cx="906780" cy="43815"/>
                  <wp:effectExtent l="0" t="0" r="0" b="0"/>
                  <wp:docPr id="4" name="Рисунок 4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68F43100" wp14:editId="7B08C6E8">
                  <wp:extent cx="139065" cy="43815"/>
                  <wp:effectExtent l="0" t="0" r="0" b="0"/>
                  <wp:docPr id="5" name="Рисунок 5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14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1AC3A06E" wp14:editId="5DEE5009">
                  <wp:extent cx="4001135" cy="43815"/>
                  <wp:effectExtent l="0" t="0" r="0" b="0"/>
                  <wp:docPr id="6" name="Рисунок 6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1135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1A814C54" wp14:editId="6D59EAEF">
                  <wp:extent cx="139065" cy="43815"/>
                  <wp:effectExtent l="0" t="0" r="0" b="0"/>
                  <wp:docPr id="7" name="Рисунок 7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2D96CA69" wp14:editId="0CDFF417">
                  <wp:extent cx="906780" cy="43815"/>
                  <wp:effectExtent l="0" t="0" r="0" b="0"/>
                  <wp:docPr id="8" name="Рисунок 8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" w:type="dxa"/>
            <w:vAlign w:val="center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noProof/>
                <w:color w:val="555555"/>
                <w:sz w:val="20"/>
                <w:szCs w:val="20"/>
                <w:lang w:eastAsia="ru-RU"/>
              </w:rPr>
              <w:drawing>
                <wp:inline distT="0" distB="0" distL="0" distR="0" wp14:anchorId="06A3D6F3" wp14:editId="5679CB6B">
                  <wp:extent cx="43815" cy="43815"/>
                  <wp:effectExtent l="0" t="0" r="0" b="0"/>
                  <wp:docPr id="9" name="Рисунок 9" descr="http://www.itogi.ru/7-days/styles/siteDesign/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itogi.ru/7-days/styles/siteDesign/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" cy="4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838FA" w:rsidRPr="009838FA" w:rsidRDefault="009838FA" w:rsidP="009838FA">
      <w:pPr>
        <w:shd w:val="clear" w:color="auto" w:fill="E8E3D5"/>
        <w:spacing w:after="0" w:line="240" w:lineRule="auto"/>
        <w:jc w:val="both"/>
        <w:rPr>
          <w:rFonts w:eastAsia="Times New Roman" w:cstheme="minorHAnsi"/>
          <w:vanish/>
          <w:color w:val="555555"/>
          <w:sz w:val="20"/>
          <w:szCs w:val="20"/>
          <w:shd w:val="clear" w:color="auto" w:fill="FFFFFF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6"/>
        <w:gridCol w:w="9319"/>
        <w:gridCol w:w="6"/>
        <w:gridCol w:w="6"/>
        <w:gridCol w:w="6"/>
      </w:tblGrid>
      <w:tr w:rsidR="009838FA" w:rsidRPr="009838FA" w:rsidTr="00AB5003">
        <w:trPr>
          <w:tblCellSpacing w:w="0" w:type="dxa"/>
        </w:trPr>
        <w:tc>
          <w:tcPr>
            <w:tcW w:w="0" w:type="auto"/>
            <w:gridSpan w:val="7"/>
            <w:tcBorders>
              <w:top w:val="single" w:sz="36" w:space="0" w:color="FFFFFF"/>
            </w:tcBorders>
            <w:tcMar>
              <w:top w:w="7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838FA" w:rsidRPr="009838FA" w:rsidRDefault="009838FA" w:rsidP="009838FA">
            <w:pPr>
              <w:shd w:val="clear" w:color="auto" w:fill="8C877B"/>
              <w:spacing w:after="0" w:line="240" w:lineRule="auto"/>
              <w:ind w:left="75" w:right="75"/>
              <w:jc w:val="both"/>
              <w:outlineLvl w:val="0"/>
              <w:rPr>
                <w:rFonts w:eastAsia="Times New Roman" w:cstheme="minorHAnsi"/>
                <w:b/>
                <w:bCs/>
                <w:color w:val="FFFFFF"/>
                <w:kern w:val="36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FFFFFF"/>
                <w:kern w:val="36"/>
                <w:sz w:val="20"/>
                <w:szCs w:val="20"/>
                <w:lang w:eastAsia="ru-RU"/>
              </w:rPr>
              <w:t>Мнения</w:t>
            </w:r>
          </w:p>
        </w:tc>
      </w:tr>
      <w:tr w:rsidR="009838FA" w:rsidRPr="009838FA" w:rsidTr="00AB5003">
        <w:trPr>
          <w:tblCellSpacing w:w="0" w:type="dxa"/>
        </w:trPr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Mar>
              <w:top w:w="360" w:type="dxa"/>
              <w:left w:w="0" w:type="dxa"/>
              <w:bottom w:w="0" w:type="dxa"/>
              <w:right w:w="0" w:type="dxa"/>
            </w:tcMar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</w:tr>
      <w:tr w:rsidR="009838FA" w:rsidRPr="009838FA" w:rsidTr="00AB5003">
        <w:trPr>
          <w:tblCellSpacing w:w="0" w:type="dxa"/>
        </w:trPr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0" w:type="dxa"/>
              <w:bottom w:w="0" w:type="dxa"/>
              <w:right w:w="0" w:type="dxa"/>
            </w:tcMar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Дмитрий Денисов, </w:t>
            </w: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руководитель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коллаборации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DZero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американского ускорителя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Теватрон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, доктор физико-математических наук: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— Поскольку ядерные силы очень короткодействующие, то получение макроскопических объектов из них типа «нитей», скорее всего, невозможно — они будут «рваться», как только несколько ядер объединятся. </w:t>
            </w: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lastRenderedPageBreak/>
              <w:t xml:space="preserve">Это из той же серии, что и отсутствие в природе ядер с весом больше нескольких сот нуклонов. А еще в научных кругах не очень принято называть эффекты «своим именем» — это должны делать время и другие ученые. Название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АБ-материя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(а не, например,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фемтоматерия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) меня лично коробит. Например, использование имени Фейнмана при упоминании о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нанотехнологиях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вообще неуместно. Всегда было понятно, что </w:t>
            </w:r>
            <w:proofErr w:type="spell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нанообъекты</w:t>
            </w:r>
            <w:proofErr w:type="spell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сделать можно. И тот же Фейнман был достаточно умен, чтобы предложить «ядерную материю», но не предложил...</w:t>
            </w:r>
          </w:p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 xml:space="preserve">Владимир </w:t>
            </w:r>
            <w:proofErr w:type="spellStart"/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Витвицкий</w:t>
            </w:r>
            <w:proofErr w:type="spellEnd"/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, </w:t>
            </w: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директор научно-просветительского центра Политехнического музея: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— Природа ядерного вещества, условия его образования являются предметом исследования современной науки. Возможно ли его получение и обеспечение стабильного существования в земных условиях, пока предмет теоретических исследований. Нейтронной становится звезда массой примерно 1,5 солнечной, требуются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огромные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давление и температура, обеспечить которые не только очень сложно, но и невероятно дорого. Для решения практических задач в настоящее время нет ни теоретических, ни экономических предпосылок. Что касается перечисленных свойств такого вещества, то пока это фантастика, и нужны ли они при большой цене вопроса — неясно. Нам предлагают красивую сказку, отвечать за воплощение которой будет кто-то когда-то, но уж точно не автор идеи.</w:t>
            </w:r>
          </w:p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 xml:space="preserve">Марк </w:t>
            </w:r>
            <w:proofErr w:type="spellStart"/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Кринкер</w:t>
            </w:r>
            <w:proofErr w:type="spellEnd"/>
            <w:r w:rsidRPr="009838FA">
              <w:rPr>
                <w:rFonts w:eastAsia="Times New Roman" w:cstheme="minorHAnsi"/>
                <w:b/>
                <w:bCs/>
                <w:color w:val="555555"/>
                <w:sz w:val="20"/>
                <w:szCs w:val="20"/>
                <w:lang w:eastAsia="ru-RU"/>
              </w:rPr>
              <w:t>, </w:t>
            </w: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советник Технологического колледжа Нью-Йорка, доктор физических наук: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— Технологии с использованием нуклонов для создания искусственной материи сегодня, конечно, кажутся фантастическими. Но в будущем вполне вероятно, что человечество сможет решить эту проблему, тем более с учетом того, какие блага они принесут. Подобного рода материя существует на нейтронных звездах, так </w:t>
            </w:r>
            <w:proofErr w:type="gramStart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>что</w:t>
            </w:r>
            <w:proofErr w:type="gramEnd"/>
            <w:r w:rsidRPr="009838FA"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  <w:t xml:space="preserve"> почему бы ей не быть воссозданной на Земле?</w:t>
            </w: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  <w:p w:rsidR="009838FA" w:rsidRPr="009838FA" w:rsidRDefault="009838FA" w:rsidP="009838FA">
            <w:pPr>
              <w:spacing w:after="150" w:line="240" w:lineRule="auto"/>
              <w:jc w:val="both"/>
              <w:rPr>
                <w:rFonts w:eastAsia="Times New Roman" w:cstheme="minorHAnsi"/>
                <w:color w:val="55555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9838FA" w:rsidRPr="009838FA" w:rsidRDefault="009838FA" w:rsidP="009838F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</w:tr>
    </w:tbl>
    <w:p w:rsidR="00EA461C" w:rsidRPr="009838FA" w:rsidRDefault="00EA461C" w:rsidP="009838FA">
      <w:pPr>
        <w:jc w:val="both"/>
        <w:rPr>
          <w:rFonts w:cstheme="minorHAnsi"/>
          <w:sz w:val="20"/>
          <w:szCs w:val="20"/>
        </w:rPr>
      </w:pPr>
    </w:p>
    <w:sectPr w:rsidR="00EA461C" w:rsidRPr="00983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FA"/>
    <w:rsid w:val="009838FA"/>
    <w:rsid w:val="00EA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itogi.ru/7-days/img/782/I-23-PARADOX-jader-f04_640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togi.ru/authors/vladimir_kryuchkov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togi.ru/i-paradox/2011/2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1432</Words>
  <Characters>8165</Characters>
  <Application>Microsoft Office Word</Application>
  <DocSecurity>0</DocSecurity>
  <Lines>68</Lines>
  <Paragraphs>19</Paragraphs>
  <ScaleCrop>false</ScaleCrop>
  <Company/>
  <LinksUpToDate>false</LinksUpToDate>
  <CharactersWithSpaces>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2011-08-18T18:40:00Z</dcterms:created>
  <dcterms:modified xsi:type="dcterms:W3CDTF">2011-08-18T18:49:00Z</dcterms:modified>
</cp:coreProperties>
</file>